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75B9A" w14:textId="61661B0C" w:rsidR="0032529D" w:rsidRPr="0032529D" w:rsidRDefault="0032529D" w:rsidP="0032529D">
      <w:pPr>
        <w:tabs>
          <w:tab w:val="num" w:pos="720"/>
        </w:tabs>
        <w:ind w:left="720" w:hanging="360"/>
        <w:jc w:val="center"/>
        <w:rPr>
          <w:b/>
          <w:bCs/>
          <w:sz w:val="28"/>
          <w:szCs w:val="28"/>
        </w:rPr>
      </w:pPr>
      <w:r w:rsidRPr="0032529D">
        <w:rPr>
          <w:b/>
          <w:bCs/>
          <w:sz w:val="28"/>
          <w:szCs w:val="28"/>
        </w:rPr>
        <w:t>CAMPUS BUDGET UPDATE FAQ</w:t>
      </w:r>
    </w:p>
    <w:p w14:paraId="101B60A8" w14:textId="77777777" w:rsidR="00E74B9A" w:rsidRPr="0032529D" w:rsidRDefault="00E74B9A" w:rsidP="00E74B9A">
      <w:pPr>
        <w:numPr>
          <w:ilvl w:val="0"/>
          <w:numId w:val="1"/>
        </w:numPr>
        <w:rPr>
          <w:sz w:val="24"/>
          <w:szCs w:val="24"/>
        </w:rPr>
      </w:pPr>
      <w:r w:rsidRPr="0032529D">
        <w:rPr>
          <w:sz w:val="24"/>
          <w:szCs w:val="24"/>
        </w:rPr>
        <w:t>Is there an anticipated timeline for implementation of cuts?</w:t>
      </w:r>
    </w:p>
    <w:p w14:paraId="0557C5FB" w14:textId="77777777" w:rsidR="00E74B9A" w:rsidRPr="0032529D" w:rsidRDefault="00C069E7" w:rsidP="004970A0">
      <w:pPr>
        <w:ind w:left="720"/>
        <w:rPr>
          <w:sz w:val="24"/>
          <w:szCs w:val="24"/>
        </w:rPr>
      </w:pPr>
      <w:r w:rsidRPr="0032529D">
        <w:rPr>
          <w:sz w:val="24"/>
          <w:szCs w:val="24"/>
        </w:rPr>
        <w:t>The base budgets will be posted to Divisions in August, and then Divisions will work with departments to distribute new base budgets.</w:t>
      </w:r>
    </w:p>
    <w:p w14:paraId="1352E376" w14:textId="77777777" w:rsidR="00E74B9A" w:rsidRPr="0032529D" w:rsidRDefault="00E74B9A" w:rsidP="00E74B9A">
      <w:pPr>
        <w:numPr>
          <w:ilvl w:val="0"/>
          <w:numId w:val="1"/>
        </w:numPr>
        <w:rPr>
          <w:sz w:val="24"/>
          <w:szCs w:val="24"/>
        </w:rPr>
      </w:pPr>
      <w:r w:rsidRPr="0032529D">
        <w:rPr>
          <w:sz w:val="24"/>
          <w:szCs w:val="24"/>
        </w:rPr>
        <w:t>What is the methodology behind determining which staff will be laid off?</w:t>
      </w:r>
    </w:p>
    <w:p w14:paraId="001DF2B6" w14:textId="23F06BD5" w:rsidR="009246A1" w:rsidRPr="00470C47" w:rsidRDefault="009246A1" w:rsidP="009246A1">
      <w:pPr>
        <w:ind w:left="720"/>
        <w:rPr>
          <w:sz w:val="24"/>
          <w:szCs w:val="24"/>
        </w:rPr>
      </w:pPr>
      <w:r w:rsidRPr="00470C47">
        <w:rPr>
          <w:sz w:val="24"/>
          <w:szCs w:val="24"/>
        </w:rPr>
        <w:t>The Cabinet/Executive Policy Group (EPG) will continue to evaluate all options for budget reductions prior to exercising layoffs. Positions that have been identified by division appropriate administrators for lack of work or lack of funds will be required to be presented to the EPG with a clear justification prior to implementation. If layoffs are necessary, these positions</w:t>
      </w:r>
      <w:r w:rsidR="00C069E7" w:rsidRPr="00470C47">
        <w:rPr>
          <w:sz w:val="24"/>
          <w:szCs w:val="24"/>
        </w:rPr>
        <w:t xml:space="preserve"> will be</w:t>
      </w:r>
      <w:r w:rsidRPr="00470C47">
        <w:rPr>
          <w:sz w:val="24"/>
          <w:szCs w:val="24"/>
        </w:rPr>
        <w:t xml:space="preserve"> done so</w:t>
      </w:r>
      <w:r w:rsidR="00C069E7" w:rsidRPr="00470C47">
        <w:rPr>
          <w:sz w:val="24"/>
          <w:szCs w:val="24"/>
        </w:rPr>
        <w:t xml:space="preserve"> in accordance with collective bargaining agreement provisions.</w:t>
      </w:r>
      <w:r w:rsidRPr="00470C47">
        <w:rPr>
          <w:sz w:val="24"/>
          <w:szCs w:val="24"/>
        </w:rPr>
        <w:t xml:space="preserve"> </w:t>
      </w:r>
    </w:p>
    <w:p w14:paraId="33326CF1" w14:textId="6A41F9ED" w:rsidR="00E74B9A" w:rsidRPr="00470C47" w:rsidRDefault="00E74B9A" w:rsidP="009246A1">
      <w:pPr>
        <w:ind w:left="720"/>
        <w:rPr>
          <w:sz w:val="24"/>
          <w:szCs w:val="24"/>
        </w:rPr>
      </w:pPr>
      <w:r w:rsidRPr="00470C47">
        <w:rPr>
          <w:sz w:val="24"/>
          <w:szCs w:val="24"/>
        </w:rPr>
        <w:t>Are faculty going to be included in layof</w:t>
      </w:r>
      <w:bookmarkStart w:id="0" w:name="_GoBack"/>
      <w:bookmarkEnd w:id="0"/>
      <w:r w:rsidRPr="00470C47">
        <w:rPr>
          <w:sz w:val="24"/>
          <w:szCs w:val="24"/>
        </w:rPr>
        <w:t>fs?</w:t>
      </w:r>
    </w:p>
    <w:p w14:paraId="308A30D8" w14:textId="0968B97D" w:rsidR="00E74B9A" w:rsidRPr="0032529D" w:rsidRDefault="004970A0" w:rsidP="004970A0">
      <w:pPr>
        <w:ind w:left="720"/>
        <w:rPr>
          <w:sz w:val="24"/>
          <w:szCs w:val="24"/>
        </w:rPr>
      </w:pPr>
      <w:r w:rsidRPr="0032529D">
        <w:rPr>
          <w:sz w:val="24"/>
          <w:szCs w:val="24"/>
        </w:rPr>
        <w:t xml:space="preserve">All divisions will be affected to varying degrees. There may be some </w:t>
      </w:r>
      <w:r w:rsidRPr="00470C47">
        <w:rPr>
          <w:sz w:val="24"/>
          <w:szCs w:val="24"/>
        </w:rPr>
        <w:t xml:space="preserve">faculty </w:t>
      </w:r>
      <w:r w:rsidR="009246A1" w:rsidRPr="00470C47">
        <w:rPr>
          <w:sz w:val="24"/>
          <w:szCs w:val="24"/>
        </w:rPr>
        <w:t xml:space="preserve">positions </w:t>
      </w:r>
      <w:r w:rsidRPr="0032529D">
        <w:rPr>
          <w:sz w:val="24"/>
          <w:szCs w:val="24"/>
        </w:rPr>
        <w:t>included in this strategy.</w:t>
      </w:r>
    </w:p>
    <w:p w14:paraId="40809966" w14:textId="77777777" w:rsidR="00E74B9A" w:rsidRPr="0032529D" w:rsidRDefault="00E74B9A" w:rsidP="00E74B9A">
      <w:pPr>
        <w:numPr>
          <w:ilvl w:val="0"/>
          <w:numId w:val="1"/>
        </w:numPr>
        <w:rPr>
          <w:sz w:val="24"/>
          <w:szCs w:val="24"/>
        </w:rPr>
      </w:pPr>
      <w:r w:rsidRPr="0032529D">
        <w:rPr>
          <w:sz w:val="24"/>
          <w:szCs w:val="24"/>
        </w:rPr>
        <w:t>Are there any revenue sources that can be expanded to offset the reduction?</w:t>
      </w:r>
    </w:p>
    <w:p w14:paraId="2089AA1C" w14:textId="77777777" w:rsidR="00E74B9A" w:rsidRPr="0032529D" w:rsidRDefault="008B1653" w:rsidP="004970A0">
      <w:pPr>
        <w:ind w:left="720"/>
        <w:rPr>
          <w:sz w:val="24"/>
          <w:szCs w:val="24"/>
        </w:rPr>
      </w:pPr>
      <w:r w:rsidRPr="0032529D">
        <w:rPr>
          <w:sz w:val="24"/>
          <w:szCs w:val="24"/>
        </w:rPr>
        <w:t>In order to maximize existing resources on campus, the University will begin employing an all-funds budgeting strategy.  This includes not only using all revenues annually, consistent with their restricted use, but also leveraging fund balances for uses outlined in the CA Education Code.</w:t>
      </w:r>
    </w:p>
    <w:p w14:paraId="5C4FB5A8" w14:textId="77777777" w:rsidR="00E74B9A" w:rsidRPr="0032529D" w:rsidRDefault="00E74B9A" w:rsidP="00E74B9A">
      <w:pPr>
        <w:numPr>
          <w:ilvl w:val="0"/>
          <w:numId w:val="1"/>
        </w:numPr>
        <w:rPr>
          <w:sz w:val="24"/>
          <w:szCs w:val="24"/>
        </w:rPr>
      </w:pPr>
      <w:r w:rsidRPr="0032529D">
        <w:rPr>
          <w:sz w:val="24"/>
          <w:szCs w:val="24"/>
        </w:rPr>
        <w:t>Why are students paying for facilities they don’t have access to?</w:t>
      </w:r>
    </w:p>
    <w:p w14:paraId="78F8E4CA" w14:textId="5A5F01CA" w:rsidR="00E74B9A" w:rsidRPr="0032529D" w:rsidRDefault="00AD52E3" w:rsidP="004970A0">
      <w:pPr>
        <w:ind w:left="720"/>
        <w:rPr>
          <w:sz w:val="24"/>
          <w:szCs w:val="24"/>
        </w:rPr>
      </w:pPr>
      <w:r w:rsidRPr="0032529D">
        <w:rPr>
          <w:sz w:val="24"/>
          <w:szCs w:val="24"/>
        </w:rPr>
        <w:t>Student fees support programming and services which are fundamental to the university experience, and as such are mandatory. Many of these programs and services are still being offered, albeit through a virtual delivery service.</w:t>
      </w:r>
      <w:r w:rsidR="004970A0" w:rsidRPr="0032529D">
        <w:rPr>
          <w:sz w:val="24"/>
          <w:szCs w:val="24"/>
        </w:rPr>
        <w:t xml:space="preserve"> </w:t>
      </w:r>
      <w:r w:rsidR="0032529D" w:rsidRPr="0032529D">
        <w:rPr>
          <w:sz w:val="24"/>
          <w:szCs w:val="24"/>
        </w:rPr>
        <w:t xml:space="preserve">More information is available </w:t>
      </w:r>
      <w:hyperlink r:id="rId7" w:history="1">
        <w:r w:rsidR="0032529D" w:rsidRPr="0032529D">
          <w:rPr>
            <w:rStyle w:val="Hyperlink"/>
            <w:sz w:val="24"/>
            <w:szCs w:val="24"/>
          </w:rPr>
          <w:t>here</w:t>
        </w:r>
      </w:hyperlink>
      <w:r w:rsidR="0032529D" w:rsidRPr="0032529D">
        <w:rPr>
          <w:sz w:val="24"/>
          <w:szCs w:val="24"/>
        </w:rPr>
        <w:t>.</w:t>
      </w:r>
    </w:p>
    <w:p w14:paraId="7F6E15C3" w14:textId="77777777" w:rsidR="00E74B9A" w:rsidRPr="0032529D" w:rsidRDefault="00E74B9A" w:rsidP="00E74B9A">
      <w:pPr>
        <w:numPr>
          <w:ilvl w:val="0"/>
          <w:numId w:val="1"/>
        </w:numPr>
        <w:rPr>
          <w:sz w:val="24"/>
          <w:szCs w:val="24"/>
        </w:rPr>
      </w:pPr>
      <w:r w:rsidRPr="0032529D">
        <w:rPr>
          <w:sz w:val="24"/>
          <w:szCs w:val="24"/>
        </w:rPr>
        <w:t>What can the campus community do to close the FTES funding gap?</w:t>
      </w:r>
    </w:p>
    <w:p w14:paraId="3D45C7C3" w14:textId="77777777" w:rsidR="00E74B9A" w:rsidRPr="0032529D" w:rsidRDefault="00EF6E11" w:rsidP="00E74B9A">
      <w:pPr>
        <w:ind w:left="720"/>
        <w:rPr>
          <w:sz w:val="24"/>
          <w:szCs w:val="24"/>
        </w:rPr>
      </w:pPr>
      <w:r w:rsidRPr="0032529D">
        <w:rPr>
          <w:sz w:val="24"/>
          <w:szCs w:val="24"/>
        </w:rPr>
        <w:t>The campus community can support the senior administrators in their continued advocacy efforts. The cabinet has been consistently sharing with the Chancellor’s Office the additional support needed at Dominguez Hills. These advocacy efforts have already resulted in additional funding in the prior year, a smaller than anticipated cut in the current year, and approximately $7M to support additional classroom space.</w:t>
      </w:r>
    </w:p>
    <w:p w14:paraId="390D494D" w14:textId="77777777" w:rsidR="00E74B9A" w:rsidRPr="0032529D" w:rsidRDefault="00E74B9A" w:rsidP="00E74B9A">
      <w:pPr>
        <w:numPr>
          <w:ilvl w:val="0"/>
          <w:numId w:val="1"/>
        </w:numPr>
        <w:rPr>
          <w:sz w:val="24"/>
          <w:szCs w:val="24"/>
        </w:rPr>
      </w:pPr>
      <w:r w:rsidRPr="0032529D">
        <w:rPr>
          <w:sz w:val="24"/>
          <w:szCs w:val="24"/>
        </w:rPr>
        <w:t>Why are furloughs no longer an option?</w:t>
      </w:r>
    </w:p>
    <w:p w14:paraId="4DC1D10F" w14:textId="77777777" w:rsidR="00E74B9A" w:rsidRPr="0032529D" w:rsidRDefault="00C803C2" w:rsidP="0032529D">
      <w:pPr>
        <w:ind w:left="720"/>
        <w:rPr>
          <w:sz w:val="24"/>
          <w:szCs w:val="24"/>
        </w:rPr>
      </w:pPr>
      <w:r w:rsidRPr="0032529D">
        <w:rPr>
          <w:sz w:val="24"/>
          <w:szCs w:val="24"/>
        </w:rPr>
        <w:t xml:space="preserve">Furloughs are a systemwide solution that would be implemented across all campuses. A handful of campuses felt that they had sufficient reserves to make it through the year </w:t>
      </w:r>
      <w:r w:rsidRPr="0032529D">
        <w:rPr>
          <w:sz w:val="24"/>
          <w:szCs w:val="24"/>
        </w:rPr>
        <w:lastRenderedPageBreak/>
        <w:t>without requiring furloughs. It was ultimately decided by the Chance</w:t>
      </w:r>
      <w:r w:rsidR="00C069E7" w:rsidRPr="0032529D">
        <w:rPr>
          <w:sz w:val="24"/>
          <w:szCs w:val="24"/>
        </w:rPr>
        <w:t>l</w:t>
      </w:r>
      <w:r w:rsidRPr="0032529D">
        <w:rPr>
          <w:sz w:val="24"/>
          <w:szCs w:val="24"/>
        </w:rPr>
        <w:t>lor to not pursue furloughs</w:t>
      </w:r>
      <w:r w:rsidR="00BE710C" w:rsidRPr="0032529D">
        <w:rPr>
          <w:sz w:val="24"/>
          <w:szCs w:val="24"/>
        </w:rPr>
        <w:t xml:space="preserve"> in the 20-21 year</w:t>
      </w:r>
      <w:r w:rsidRPr="0032529D">
        <w:rPr>
          <w:sz w:val="24"/>
          <w:szCs w:val="24"/>
        </w:rPr>
        <w:t>, and it is not an option that Dominguez Hills can exercise independently.</w:t>
      </w:r>
      <w:r w:rsidR="00BE710C" w:rsidRPr="0032529D">
        <w:rPr>
          <w:sz w:val="24"/>
          <w:szCs w:val="24"/>
        </w:rPr>
        <w:t xml:space="preserve"> </w:t>
      </w:r>
    </w:p>
    <w:p w14:paraId="2798643A" w14:textId="77777777" w:rsidR="00C86315" w:rsidRPr="00470C47" w:rsidRDefault="00C86315">
      <w:pPr>
        <w:rPr>
          <w:sz w:val="24"/>
          <w:szCs w:val="24"/>
        </w:rPr>
      </w:pPr>
    </w:p>
    <w:sectPr w:rsidR="00C86315" w:rsidRPr="00470C4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1C41F" w14:textId="77777777" w:rsidR="00D81888" w:rsidRDefault="00D81888" w:rsidP="0032529D">
      <w:pPr>
        <w:spacing w:after="0" w:line="240" w:lineRule="auto"/>
      </w:pPr>
      <w:r>
        <w:separator/>
      </w:r>
    </w:p>
  </w:endnote>
  <w:endnote w:type="continuationSeparator" w:id="0">
    <w:p w14:paraId="7EF06B3B" w14:textId="77777777" w:rsidR="00D81888" w:rsidRDefault="00D81888" w:rsidP="0032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64AA9" w14:textId="77777777" w:rsidR="00D81888" w:rsidRDefault="00D81888" w:rsidP="0032529D">
      <w:pPr>
        <w:spacing w:after="0" w:line="240" w:lineRule="auto"/>
      </w:pPr>
      <w:r>
        <w:separator/>
      </w:r>
    </w:p>
  </w:footnote>
  <w:footnote w:type="continuationSeparator" w:id="0">
    <w:p w14:paraId="66B084CB" w14:textId="77777777" w:rsidR="00D81888" w:rsidRDefault="00D81888" w:rsidP="00325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3F4F5" w14:textId="042B2017" w:rsidR="0032529D" w:rsidRDefault="0032529D">
    <w:pPr>
      <w:pStyle w:val="Header"/>
    </w:pPr>
    <w:r>
      <w:rPr>
        <w:noProof/>
      </w:rPr>
      <w:drawing>
        <wp:inline distT="0" distB="0" distL="0" distR="0" wp14:anchorId="057AB9C6" wp14:editId="1EF2F6E0">
          <wp:extent cx="1527529" cy="617122"/>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6-18-csudh-logo-stacked-1-line-on-white.png"/>
                  <pic:cNvPicPr/>
                </pic:nvPicPr>
                <pic:blipFill>
                  <a:blip r:embed="rId1">
                    <a:extLst>
                      <a:ext uri="{28A0092B-C50C-407E-A947-70E740481C1C}">
                        <a14:useLocalDpi xmlns:a14="http://schemas.microsoft.com/office/drawing/2010/main" val="0"/>
                      </a:ext>
                    </a:extLst>
                  </a:blip>
                  <a:stretch>
                    <a:fillRect/>
                  </a:stretch>
                </pic:blipFill>
                <pic:spPr>
                  <a:xfrm>
                    <a:off x="0" y="0"/>
                    <a:ext cx="1588899" cy="6419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B11DC"/>
    <w:multiLevelType w:val="hybridMultilevel"/>
    <w:tmpl w:val="931E490E"/>
    <w:lvl w:ilvl="0" w:tplc="F1783C70">
      <w:start w:val="1"/>
      <w:numFmt w:val="bullet"/>
      <w:lvlText w:val="•"/>
      <w:lvlJc w:val="left"/>
      <w:pPr>
        <w:tabs>
          <w:tab w:val="num" w:pos="720"/>
        </w:tabs>
        <w:ind w:left="720" w:hanging="360"/>
      </w:pPr>
      <w:rPr>
        <w:rFonts w:ascii="Arial" w:hAnsi="Arial" w:hint="default"/>
      </w:rPr>
    </w:lvl>
    <w:lvl w:ilvl="1" w:tplc="0E3439AA" w:tentative="1">
      <w:start w:val="1"/>
      <w:numFmt w:val="bullet"/>
      <w:lvlText w:val="•"/>
      <w:lvlJc w:val="left"/>
      <w:pPr>
        <w:tabs>
          <w:tab w:val="num" w:pos="1440"/>
        </w:tabs>
        <w:ind w:left="1440" w:hanging="360"/>
      </w:pPr>
      <w:rPr>
        <w:rFonts w:ascii="Arial" w:hAnsi="Arial" w:hint="default"/>
      </w:rPr>
    </w:lvl>
    <w:lvl w:ilvl="2" w:tplc="AF364822" w:tentative="1">
      <w:start w:val="1"/>
      <w:numFmt w:val="bullet"/>
      <w:lvlText w:val="•"/>
      <w:lvlJc w:val="left"/>
      <w:pPr>
        <w:tabs>
          <w:tab w:val="num" w:pos="2160"/>
        </w:tabs>
        <w:ind w:left="2160" w:hanging="360"/>
      </w:pPr>
      <w:rPr>
        <w:rFonts w:ascii="Arial" w:hAnsi="Arial" w:hint="default"/>
      </w:rPr>
    </w:lvl>
    <w:lvl w:ilvl="3" w:tplc="9BF8F3C4" w:tentative="1">
      <w:start w:val="1"/>
      <w:numFmt w:val="bullet"/>
      <w:lvlText w:val="•"/>
      <w:lvlJc w:val="left"/>
      <w:pPr>
        <w:tabs>
          <w:tab w:val="num" w:pos="2880"/>
        </w:tabs>
        <w:ind w:left="2880" w:hanging="360"/>
      </w:pPr>
      <w:rPr>
        <w:rFonts w:ascii="Arial" w:hAnsi="Arial" w:hint="default"/>
      </w:rPr>
    </w:lvl>
    <w:lvl w:ilvl="4" w:tplc="2FFC366C" w:tentative="1">
      <w:start w:val="1"/>
      <w:numFmt w:val="bullet"/>
      <w:lvlText w:val="•"/>
      <w:lvlJc w:val="left"/>
      <w:pPr>
        <w:tabs>
          <w:tab w:val="num" w:pos="3600"/>
        </w:tabs>
        <w:ind w:left="3600" w:hanging="360"/>
      </w:pPr>
      <w:rPr>
        <w:rFonts w:ascii="Arial" w:hAnsi="Arial" w:hint="default"/>
      </w:rPr>
    </w:lvl>
    <w:lvl w:ilvl="5" w:tplc="2C9475F8" w:tentative="1">
      <w:start w:val="1"/>
      <w:numFmt w:val="bullet"/>
      <w:lvlText w:val="•"/>
      <w:lvlJc w:val="left"/>
      <w:pPr>
        <w:tabs>
          <w:tab w:val="num" w:pos="4320"/>
        </w:tabs>
        <w:ind w:left="4320" w:hanging="360"/>
      </w:pPr>
      <w:rPr>
        <w:rFonts w:ascii="Arial" w:hAnsi="Arial" w:hint="default"/>
      </w:rPr>
    </w:lvl>
    <w:lvl w:ilvl="6" w:tplc="17C42D40" w:tentative="1">
      <w:start w:val="1"/>
      <w:numFmt w:val="bullet"/>
      <w:lvlText w:val="•"/>
      <w:lvlJc w:val="left"/>
      <w:pPr>
        <w:tabs>
          <w:tab w:val="num" w:pos="5040"/>
        </w:tabs>
        <w:ind w:left="5040" w:hanging="360"/>
      </w:pPr>
      <w:rPr>
        <w:rFonts w:ascii="Arial" w:hAnsi="Arial" w:hint="default"/>
      </w:rPr>
    </w:lvl>
    <w:lvl w:ilvl="7" w:tplc="761812D0" w:tentative="1">
      <w:start w:val="1"/>
      <w:numFmt w:val="bullet"/>
      <w:lvlText w:val="•"/>
      <w:lvlJc w:val="left"/>
      <w:pPr>
        <w:tabs>
          <w:tab w:val="num" w:pos="5760"/>
        </w:tabs>
        <w:ind w:left="5760" w:hanging="360"/>
      </w:pPr>
      <w:rPr>
        <w:rFonts w:ascii="Arial" w:hAnsi="Arial" w:hint="default"/>
      </w:rPr>
    </w:lvl>
    <w:lvl w:ilvl="8" w:tplc="2214A41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B9A"/>
    <w:rsid w:val="00131517"/>
    <w:rsid w:val="0032529D"/>
    <w:rsid w:val="0046540A"/>
    <w:rsid w:val="00470C47"/>
    <w:rsid w:val="004970A0"/>
    <w:rsid w:val="004E164B"/>
    <w:rsid w:val="005602ED"/>
    <w:rsid w:val="006F1286"/>
    <w:rsid w:val="007178F1"/>
    <w:rsid w:val="0084549B"/>
    <w:rsid w:val="008B1653"/>
    <w:rsid w:val="00903A02"/>
    <w:rsid w:val="009246A1"/>
    <w:rsid w:val="009E143E"/>
    <w:rsid w:val="00AD52E3"/>
    <w:rsid w:val="00B64253"/>
    <w:rsid w:val="00BB2AA6"/>
    <w:rsid w:val="00BE710C"/>
    <w:rsid w:val="00C069E7"/>
    <w:rsid w:val="00C803C2"/>
    <w:rsid w:val="00C86315"/>
    <w:rsid w:val="00C94A76"/>
    <w:rsid w:val="00D0779B"/>
    <w:rsid w:val="00D81888"/>
    <w:rsid w:val="00E74B9A"/>
    <w:rsid w:val="00EF6E11"/>
    <w:rsid w:val="00FF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A35B7"/>
  <w15:chartTrackingRefBased/>
  <w15:docId w15:val="{480D9266-F2FD-4721-8528-58A92E9B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29D"/>
    <w:rPr>
      <w:color w:val="0563C1" w:themeColor="hyperlink"/>
      <w:u w:val="single"/>
    </w:rPr>
  </w:style>
  <w:style w:type="character" w:customStyle="1" w:styleId="UnresolvedMention1">
    <w:name w:val="Unresolved Mention1"/>
    <w:basedOn w:val="DefaultParagraphFont"/>
    <w:uiPriority w:val="99"/>
    <w:semiHidden/>
    <w:unhideWhenUsed/>
    <w:rsid w:val="0032529D"/>
    <w:rPr>
      <w:color w:val="605E5C"/>
      <w:shd w:val="clear" w:color="auto" w:fill="E1DFDD"/>
    </w:rPr>
  </w:style>
  <w:style w:type="character" w:styleId="FollowedHyperlink">
    <w:name w:val="FollowedHyperlink"/>
    <w:basedOn w:val="DefaultParagraphFont"/>
    <w:uiPriority w:val="99"/>
    <w:semiHidden/>
    <w:unhideWhenUsed/>
    <w:rsid w:val="0032529D"/>
    <w:rPr>
      <w:color w:val="954F72" w:themeColor="followedHyperlink"/>
      <w:u w:val="single"/>
    </w:rPr>
  </w:style>
  <w:style w:type="paragraph" w:styleId="Header">
    <w:name w:val="header"/>
    <w:basedOn w:val="Normal"/>
    <w:link w:val="HeaderChar"/>
    <w:uiPriority w:val="99"/>
    <w:unhideWhenUsed/>
    <w:rsid w:val="00325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29D"/>
  </w:style>
  <w:style w:type="paragraph" w:styleId="Footer">
    <w:name w:val="footer"/>
    <w:basedOn w:val="Normal"/>
    <w:link w:val="FooterChar"/>
    <w:uiPriority w:val="99"/>
    <w:unhideWhenUsed/>
    <w:rsid w:val="00325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00286">
      <w:bodyDiv w:val="1"/>
      <w:marLeft w:val="0"/>
      <w:marRight w:val="0"/>
      <w:marTop w:val="0"/>
      <w:marBottom w:val="0"/>
      <w:divBdr>
        <w:top w:val="none" w:sz="0" w:space="0" w:color="auto"/>
        <w:left w:val="none" w:sz="0" w:space="0" w:color="auto"/>
        <w:bottom w:val="none" w:sz="0" w:space="0" w:color="auto"/>
        <w:right w:val="none" w:sz="0" w:space="0" w:color="auto"/>
      </w:divBdr>
      <w:divsChild>
        <w:div w:id="1861553701">
          <w:marLeft w:val="547"/>
          <w:marRight w:val="0"/>
          <w:marTop w:val="0"/>
          <w:marBottom w:val="0"/>
          <w:divBdr>
            <w:top w:val="none" w:sz="0" w:space="0" w:color="auto"/>
            <w:left w:val="none" w:sz="0" w:space="0" w:color="auto"/>
            <w:bottom w:val="none" w:sz="0" w:space="0" w:color="auto"/>
            <w:right w:val="none" w:sz="0" w:space="0" w:color="auto"/>
          </w:divBdr>
        </w:div>
        <w:div w:id="1226260088">
          <w:marLeft w:val="547"/>
          <w:marRight w:val="0"/>
          <w:marTop w:val="0"/>
          <w:marBottom w:val="0"/>
          <w:divBdr>
            <w:top w:val="none" w:sz="0" w:space="0" w:color="auto"/>
            <w:left w:val="none" w:sz="0" w:space="0" w:color="auto"/>
            <w:bottom w:val="none" w:sz="0" w:space="0" w:color="auto"/>
            <w:right w:val="none" w:sz="0" w:space="0" w:color="auto"/>
          </w:divBdr>
        </w:div>
        <w:div w:id="944927571">
          <w:marLeft w:val="547"/>
          <w:marRight w:val="0"/>
          <w:marTop w:val="0"/>
          <w:marBottom w:val="0"/>
          <w:divBdr>
            <w:top w:val="none" w:sz="0" w:space="0" w:color="auto"/>
            <w:left w:val="none" w:sz="0" w:space="0" w:color="auto"/>
            <w:bottom w:val="none" w:sz="0" w:space="0" w:color="auto"/>
            <w:right w:val="none" w:sz="0" w:space="0" w:color="auto"/>
          </w:divBdr>
        </w:div>
        <w:div w:id="1819758240">
          <w:marLeft w:val="547"/>
          <w:marRight w:val="0"/>
          <w:marTop w:val="0"/>
          <w:marBottom w:val="0"/>
          <w:divBdr>
            <w:top w:val="none" w:sz="0" w:space="0" w:color="auto"/>
            <w:left w:val="none" w:sz="0" w:space="0" w:color="auto"/>
            <w:bottom w:val="none" w:sz="0" w:space="0" w:color="auto"/>
            <w:right w:val="none" w:sz="0" w:space="0" w:color="auto"/>
          </w:divBdr>
        </w:div>
        <w:div w:id="1422877001">
          <w:marLeft w:val="547"/>
          <w:marRight w:val="0"/>
          <w:marTop w:val="0"/>
          <w:marBottom w:val="0"/>
          <w:divBdr>
            <w:top w:val="none" w:sz="0" w:space="0" w:color="auto"/>
            <w:left w:val="none" w:sz="0" w:space="0" w:color="auto"/>
            <w:bottom w:val="none" w:sz="0" w:space="0" w:color="auto"/>
            <w:right w:val="none" w:sz="0" w:space="0" w:color="auto"/>
          </w:divBdr>
        </w:div>
        <w:div w:id="923686577">
          <w:marLeft w:val="547"/>
          <w:marRight w:val="0"/>
          <w:marTop w:val="0"/>
          <w:marBottom w:val="0"/>
          <w:divBdr>
            <w:top w:val="none" w:sz="0" w:space="0" w:color="auto"/>
            <w:left w:val="none" w:sz="0" w:space="0" w:color="auto"/>
            <w:bottom w:val="none" w:sz="0" w:space="0" w:color="auto"/>
            <w:right w:val="none" w:sz="0" w:space="0" w:color="auto"/>
          </w:divBdr>
        </w:div>
        <w:div w:id="6175651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sudh.edu/Assets/csudh-sites/accounting-services/docs/COVID-19-Student-Fees-upd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Robinson</dc:creator>
  <cp:keywords/>
  <dc:description/>
  <cp:lastModifiedBy>Katie Robinson</cp:lastModifiedBy>
  <cp:revision>3</cp:revision>
  <dcterms:created xsi:type="dcterms:W3CDTF">2020-08-13T17:38:00Z</dcterms:created>
  <dcterms:modified xsi:type="dcterms:W3CDTF">2020-08-13T18:01:00Z</dcterms:modified>
</cp:coreProperties>
</file>